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77F0" w14:textId="40005B91" w:rsidR="00551CBA" w:rsidRDefault="00551CBA" w:rsidP="00551CBA">
      <w:pPr>
        <w:pStyle w:val="Default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Essential Reading List: WSO Future Leaders Program (</w:t>
      </w:r>
      <w:r w:rsidR="003565DE">
        <w:rPr>
          <w:b/>
          <w:bCs/>
          <w:i/>
          <w:iCs/>
          <w:sz w:val="32"/>
          <w:szCs w:val="32"/>
          <w:lang w:val="en-US"/>
        </w:rPr>
        <w:t>2022</w:t>
      </w:r>
      <w:r>
        <w:rPr>
          <w:b/>
          <w:bCs/>
          <w:i/>
          <w:iCs/>
          <w:sz w:val="32"/>
          <w:szCs w:val="32"/>
        </w:rPr>
        <w:t xml:space="preserve">) </w:t>
      </w:r>
    </w:p>
    <w:p w14:paraId="216D07D5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Brainin M, Feigin VL, Norrving B, Martins SCO, Hankey GJ, </w:t>
      </w:r>
      <w:proofErr w:type="spellStart"/>
      <w:r>
        <w:rPr>
          <w:sz w:val="23"/>
          <w:szCs w:val="23"/>
        </w:rPr>
        <w:t>Hachinski</w:t>
      </w:r>
      <w:proofErr w:type="spellEnd"/>
      <w:r>
        <w:rPr>
          <w:sz w:val="23"/>
          <w:szCs w:val="23"/>
        </w:rPr>
        <w:t xml:space="preserve"> V; World Stroke Organization Board of Directors. Global prevention of stroke and dementia: the WSO Declaration. Lancet Neurol. 2020 Jun;19(6):487-488. </w:t>
      </w:r>
    </w:p>
    <w:p w14:paraId="6ED24174" w14:textId="77777777" w:rsidR="00551CBA" w:rsidRDefault="00551CBA" w:rsidP="00551CBA">
      <w:pPr>
        <w:pStyle w:val="Default"/>
        <w:rPr>
          <w:sz w:val="23"/>
          <w:szCs w:val="23"/>
        </w:rPr>
      </w:pPr>
    </w:p>
    <w:p w14:paraId="1325FF7F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Campbell BCV, Khatri P. Stroke. Lancet. 2020 Jul </w:t>
      </w:r>
      <w:proofErr w:type="gramStart"/>
      <w:r>
        <w:rPr>
          <w:sz w:val="23"/>
          <w:szCs w:val="23"/>
        </w:rPr>
        <w:t>11;396:129</w:t>
      </w:r>
      <w:proofErr w:type="gramEnd"/>
      <w:r>
        <w:rPr>
          <w:sz w:val="23"/>
          <w:szCs w:val="23"/>
        </w:rPr>
        <w:t xml:space="preserve">-142. </w:t>
      </w:r>
    </w:p>
    <w:p w14:paraId="33C76475" w14:textId="77777777" w:rsidR="00551CBA" w:rsidRDefault="00551CBA" w:rsidP="00551CBA">
      <w:pPr>
        <w:pStyle w:val="Default"/>
        <w:rPr>
          <w:sz w:val="23"/>
          <w:szCs w:val="23"/>
        </w:rPr>
      </w:pPr>
    </w:p>
    <w:p w14:paraId="0365B4A0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Feigin VL, Brainin M, Norrving B, Gorelick PB, </w:t>
      </w:r>
      <w:proofErr w:type="spellStart"/>
      <w:r>
        <w:rPr>
          <w:sz w:val="23"/>
          <w:szCs w:val="23"/>
        </w:rPr>
        <w:t>Dichgans</w:t>
      </w:r>
      <w:proofErr w:type="spellEnd"/>
      <w:r>
        <w:rPr>
          <w:sz w:val="23"/>
          <w:szCs w:val="23"/>
        </w:rPr>
        <w:t xml:space="preserve"> M, Wang W, Pandian JD, Martins SCO, Owolabi MO, Wood DA, Hankey GJ. What Is the Best Mix of Population-Wide and High-Risk Targeted Strategies of Primary Stroke and Cardiovascular Disease Prevention? J Am Heart Assoc. 2020 Feb 4;9(3) </w:t>
      </w:r>
    </w:p>
    <w:p w14:paraId="6FCF029D" w14:textId="77777777" w:rsidR="00551CBA" w:rsidRDefault="00551CBA" w:rsidP="00551CBA">
      <w:pPr>
        <w:pStyle w:val="Default"/>
        <w:rPr>
          <w:sz w:val="23"/>
          <w:szCs w:val="23"/>
        </w:rPr>
      </w:pPr>
    </w:p>
    <w:p w14:paraId="73A42C7B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Feigin VL, Norrving B, George MG, Foltz JL, Roth GA, Mensah GA. Prevention of stroke: a strategic global imperative. Nat Rev Neurol. 2016 Sep;12(9):501-12. </w:t>
      </w:r>
    </w:p>
    <w:p w14:paraId="7C4B56CD" w14:textId="77777777" w:rsidR="00551CBA" w:rsidRDefault="00551CBA" w:rsidP="00551CBA">
      <w:pPr>
        <w:pStyle w:val="Default"/>
        <w:rPr>
          <w:sz w:val="23"/>
          <w:szCs w:val="23"/>
        </w:rPr>
      </w:pPr>
    </w:p>
    <w:p w14:paraId="714DFADE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GBD 2016 Lifetime Risk of Stroke Collaborators. Global, Regional, and Country-Specific Lifetime Risks of Stroke, 1990 and 2016. N </w:t>
      </w:r>
      <w:proofErr w:type="spellStart"/>
      <w:r>
        <w:rPr>
          <w:sz w:val="23"/>
          <w:szCs w:val="23"/>
        </w:rPr>
        <w:t>Engl</w:t>
      </w:r>
      <w:proofErr w:type="spellEnd"/>
      <w:r>
        <w:rPr>
          <w:sz w:val="23"/>
          <w:szCs w:val="23"/>
        </w:rPr>
        <w:t xml:space="preserve"> J Med. 2018 Dec 20;379(25):2429-2437. </w:t>
      </w:r>
    </w:p>
    <w:p w14:paraId="579E155A" w14:textId="77777777" w:rsidR="00551CBA" w:rsidRDefault="00551CBA" w:rsidP="00551CBA">
      <w:pPr>
        <w:pStyle w:val="Default"/>
        <w:rPr>
          <w:sz w:val="23"/>
          <w:szCs w:val="23"/>
        </w:rPr>
      </w:pPr>
    </w:p>
    <w:p w14:paraId="66A5FD87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GBD 2016 Stroke Collaborators. Global, regional, and national burden of stroke, 1990-2016: a systematic analysis for the Global Burden of Disease Study 2016. Lancet Neurol. 2019 May;18(5):439-458. </w:t>
      </w:r>
    </w:p>
    <w:p w14:paraId="08FC0A19" w14:textId="77777777" w:rsidR="00551CBA" w:rsidRDefault="00551CBA" w:rsidP="00551CBA">
      <w:pPr>
        <w:pStyle w:val="Default"/>
        <w:rPr>
          <w:sz w:val="23"/>
          <w:szCs w:val="23"/>
        </w:rPr>
      </w:pPr>
    </w:p>
    <w:p w14:paraId="481C23B1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Hachinski</w:t>
      </w:r>
      <w:proofErr w:type="spellEnd"/>
      <w:r>
        <w:rPr>
          <w:sz w:val="23"/>
          <w:szCs w:val="23"/>
        </w:rPr>
        <w:t xml:space="preserve"> V, </w:t>
      </w:r>
      <w:proofErr w:type="spellStart"/>
      <w:r>
        <w:rPr>
          <w:sz w:val="23"/>
          <w:szCs w:val="23"/>
        </w:rPr>
        <w:t>Einhäupl</w:t>
      </w:r>
      <w:proofErr w:type="spellEnd"/>
      <w:r>
        <w:rPr>
          <w:sz w:val="23"/>
          <w:szCs w:val="23"/>
        </w:rPr>
        <w:t xml:space="preserve"> K, </w:t>
      </w:r>
      <w:proofErr w:type="spellStart"/>
      <w:r>
        <w:rPr>
          <w:sz w:val="23"/>
          <w:szCs w:val="23"/>
        </w:rPr>
        <w:t>Ganten</w:t>
      </w:r>
      <w:proofErr w:type="spellEnd"/>
      <w:r>
        <w:rPr>
          <w:sz w:val="23"/>
          <w:szCs w:val="23"/>
        </w:rPr>
        <w:t xml:space="preserve"> D, </w:t>
      </w:r>
      <w:proofErr w:type="spellStart"/>
      <w:r>
        <w:rPr>
          <w:sz w:val="23"/>
          <w:szCs w:val="23"/>
        </w:rPr>
        <w:t>Alladi</w:t>
      </w:r>
      <w:proofErr w:type="spellEnd"/>
      <w:r>
        <w:rPr>
          <w:sz w:val="23"/>
          <w:szCs w:val="23"/>
        </w:rPr>
        <w:t xml:space="preserve"> S, </w:t>
      </w:r>
      <w:proofErr w:type="spellStart"/>
      <w:r>
        <w:rPr>
          <w:sz w:val="23"/>
          <w:szCs w:val="23"/>
        </w:rPr>
        <w:t>Brayne</w:t>
      </w:r>
      <w:proofErr w:type="spellEnd"/>
      <w:r>
        <w:rPr>
          <w:sz w:val="23"/>
          <w:szCs w:val="23"/>
        </w:rPr>
        <w:t xml:space="preserve"> C, Stephan BCM, Sweeney MD, </w:t>
      </w:r>
      <w:proofErr w:type="spellStart"/>
      <w:r>
        <w:rPr>
          <w:sz w:val="23"/>
          <w:szCs w:val="23"/>
        </w:rPr>
        <w:t>Zlokovic</w:t>
      </w:r>
      <w:proofErr w:type="spellEnd"/>
      <w:r>
        <w:rPr>
          <w:sz w:val="23"/>
          <w:szCs w:val="23"/>
        </w:rPr>
        <w:t xml:space="preserve"> B, </w:t>
      </w:r>
      <w:proofErr w:type="spellStart"/>
      <w:r>
        <w:rPr>
          <w:sz w:val="23"/>
          <w:szCs w:val="23"/>
        </w:rPr>
        <w:t>Iturria</w:t>
      </w:r>
      <w:proofErr w:type="spellEnd"/>
      <w:r>
        <w:rPr>
          <w:sz w:val="23"/>
          <w:szCs w:val="23"/>
        </w:rPr>
        <w:t xml:space="preserve">-Medina Y, </w:t>
      </w:r>
      <w:proofErr w:type="spellStart"/>
      <w:r>
        <w:rPr>
          <w:sz w:val="23"/>
          <w:szCs w:val="23"/>
        </w:rPr>
        <w:t>Iadecola</w:t>
      </w:r>
      <w:proofErr w:type="spellEnd"/>
      <w:r>
        <w:rPr>
          <w:sz w:val="23"/>
          <w:szCs w:val="23"/>
        </w:rPr>
        <w:t xml:space="preserve"> C, Nishimura N, Schaffer CB, Whitehead SN, Black SE, </w:t>
      </w:r>
      <w:proofErr w:type="spellStart"/>
      <w:r>
        <w:rPr>
          <w:sz w:val="23"/>
          <w:szCs w:val="23"/>
        </w:rPr>
        <w:t>Østergaard</w:t>
      </w:r>
      <w:proofErr w:type="spellEnd"/>
      <w:r>
        <w:rPr>
          <w:sz w:val="23"/>
          <w:szCs w:val="23"/>
        </w:rPr>
        <w:t xml:space="preserve"> L, Wardlaw J, Greenberg S, Friberg L, Norrving B, Rowe B, </w:t>
      </w:r>
      <w:proofErr w:type="spellStart"/>
      <w:r>
        <w:rPr>
          <w:sz w:val="23"/>
          <w:szCs w:val="23"/>
        </w:rPr>
        <w:t>Joanette</w:t>
      </w:r>
      <w:proofErr w:type="spellEnd"/>
      <w:r>
        <w:rPr>
          <w:sz w:val="23"/>
          <w:szCs w:val="23"/>
        </w:rPr>
        <w:t xml:space="preserve"> Y, Hacke W, </w:t>
      </w:r>
      <w:proofErr w:type="spellStart"/>
      <w:r>
        <w:rPr>
          <w:sz w:val="23"/>
          <w:szCs w:val="23"/>
        </w:rPr>
        <w:t>Kuller</w:t>
      </w:r>
      <w:proofErr w:type="spellEnd"/>
      <w:r>
        <w:rPr>
          <w:sz w:val="23"/>
          <w:szCs w:val="23"/>
        </w:rPr>
        <w:t xml:space="preserve"> L, </w:t>
      </w:r>
      <w:proofErr w:type="spellStart"/>
      <w:r>
        <w:rPr>
          <w:sz w:val="23"/>
          <w:szCs w:val="23"/>
        </w:rPr>
        <w:t>Dichgans</w:t>
      </w:r>
      <w:proofErr w:type="spellEnd"/>
      <w:r>
        <w:rPr>
          <w:sz w:val="23"/>
          <w:szCs w:val="23"/>
        </w:rPr>
        <w:t xml:space="preserve"> M, Endres M, Khachaturian ZS. Special topic section: linkages among cerebrovascular, cardiovascular, and cognitive disorders: Preventing dementia by preventing stroke: The Berlin Manifesto. Int J Stroke. 2019 Sep 22, Online ahead of print. </w:t>
      </w:r>
    </w:p>
    <w:p w14:paraId="7A92297E" w14:textId="77777777" w:rsidR="00551CBA" w:rsidRDefault="00551CBA" w:rsidP="00551CBA">
      <w:pPr>
        <w:pStyle w:val="Default"/>
        <w:rPr>
          <w:sz w:val="23"/>
          <w:szCs w:val="23"/>
        </w:rPr>
      </w:pPr>
    </w:p>
    <w:p w14:paraId="544ED210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Lindsay MP, Norrving B, Sacco RL, Brainin M, Hacke W, Martins S, Pandian J, Feigin V. World Stroke Organization (WSO): Global Stroke Fact Sheet 2019 Int J Stroke. 2019 Oct;14(8):806-817. </w:t>
      </w:r>
    </w:p>
    <w:p w14:paraId="6EDDA36D" w14:textId="77777777" w:rsidR="00551CBA" w:rsidRDefault="00551CBA" w:rsidP="00551CBA">
      <w:pPr>
        <w:pStyle w:val="Default"/>
        <w:rPr>
          <w:sz w:val="23"/>
          <w:szCs w:val="23"/>
        </w:rPr>
      </w:pPr>
    </w:p>
    <w:p w14:paraId="47D370DA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Lindsay P, </w:t>
      </w:r>
      <w:proofErr w:type="spellStart"/>
      <w:r>
        <w:rPr>
          <w:sz w:val="23"/>
          <w:szCs w:val="23"/>
        </w:rPr>
        <w:t>Furie</w:t>
      </w:r>
      <w:proofErr w:type="spellEnd"/>
      <w:r>
        <w:rPr>
          <w:sz w:val="23"/>
          <w:szCs w:val="23"/>
        </w:rPr>
        <w:t xml:space="preserve"> KL, Davis SM, </w:t>
      </w:r>
      <w:proofErr w:type="spellStart"/>
      <w:r>
        <w:rPr>
          <w:sz w:val="23"/>
          <w:szCs w:val="23"/>
        </w:rPr>
        <w:t>Donnan</w:t>
      </w:r>
      <w:proofErr w:type="spellEnd"/>
      <w:r>
        <w:rPr>
          <w:sz w:val="23"/>
          <w:szCs w:val="23"/>
        </w:rPr>
        <w:t xml:space="preserve"> GA, Norrving B. World Stroke Organization global stroke services guidelines and action plan. Int J Stroke. 2014 Oct;9 Suppl A100:4-13. </w:t>
      </w:r>
    </w:p>
    <w:p w14:paraId="159D3689" w14:textId="77777777" w:rsidR="00551CBA" w:rsidRDefault="00551CBA" w:rsidP="00551CBA">
      <w:pPr>
        <w:pStyle w:val="Default"/>
        <w:rPr>
          <w:sz w:val="23"/>
          <w:szCs w:val="23"/>
        </w:rPr>
      </w:pPr>
    </w:p>
    <w:p w14:paraId="4B41E95B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Norrving B, Barrick J, Davalos A, </w:t>
      </w:r>
      <w:proofErr w:type="spellStart"/>
      <w:r>
        <w:rPr>
          <w:sz w:val="23"/>
          <w:szCs w:val="23"/>
        </w:rPr>
        <w:t>Dichgans</w:t>
      </w:r>
      <w:proofErr w:type="spellEnd"/>
      <w:r>
        <w:rPr>
          <w:sz w:val="23"/>
          <w:szCs w:val="23"/>
        </w:rPr>
        <w:t xml:space="preserve"> M, </w:t>
      </w:r>
      <w:proofErr w:type="spellStart"/>
      <w:r>
        <w:rPr>
          <w:sz w:val="23"/>
          <w:szCs w:val="23"/>
        </w:rPr>
        <w:t>Cordonnier</w:t>
      </w:r>
      <w:proofErr w:type="spellEnd"/>
      <w:r>
        <w:rPr>
          <w:sz w:val="23"/>
          <w:szCs w:val="23"/>
        </w:rPr>
        <w:t xml:space="preserve"> C, </w:t>
      </w:r>
      <w:proofErr w:type="spellStart"/>
      <w:r>
        <w:rPr>
          <w:sz w:val="23"/>
          <w:szCs w:val="23"/>
        </w:rPr>
        <w:t>Guekht</w:t>
      </w:r>
      <w:proofErr w:type="spellEnd"/>
      <w:r>
        <w:rPr>
          <w:sz w:val="23"/>
          <w:szCs w:val="23"/>
        </w:rPr>
        <w:t xml:space="preserve"> A, </w:t>
      </w:r>
      <w:proofErr w:type="spellStart"/>
      <w:r>
        <w:rPr>
          <w:sz w:val="23"/>
          <w:szCs w:val="23"/>
        </w:rPr>
        <w:t>Kutluk</w:t>
      </w:r>
      <w:proofErr w:type="spellEnd"/>
      <w:r>
        <w:rPr>
          <w:sz w:val="23"/>
          <w:szCs w:val="23"/>
        </w:rPr>
        <w:t xml:space="preserve"> K, Mikulik R, Wardlaw J, Richard E, </w:t>
      </w:r>
      <w:proofErr w:type="spellStart"/>
      <w:r>
        <w:rPr>
          <w:sz w:val="23"/>
          <w:szCs w:val="23"/>
        </w:rPr>
        <w:t>Nabavi</w:t>
      </w:r>
      <w:proofErr w:type="spellEnd"/>
      <w:r>
        <w:rPr>
          <w:sz w:val="23"/>
          <w:szCs w:val="23"/>
        </w:rPr>
        <w:t xml:space="preserve"> D, Molina C, Bath PM, Stibrant Sunnerhagen K, Rudd A, Drummond A, </w:t>
      </w:r>
      <w:proofErr w:type="spellStart"/>
      <w:r>
        <w:rPr>
          <w:sz w:val="23"/>
          <w:szCs w:val="23"/>
        </w:rPr>
        <w:t>Planas</w:t>
      </w:r>
      <w:proofErr w:type="spellEnd"/>
      <w:r>
        <w:rPr>
          <w:sz w:val="23"/>
          <w:szCs w:val="23"/>
        </w:rPr>
        <w:t xml:space="preserve"> A, Caso V. Action Plan for Stroke in Europe. </w:t>
      </w:r>
      <w:proofErr w:type="spellStart"/>
      <w:r>
        <w:rPr>
          <w:sz w:val="23"/>
          <w:szCs w:val="23"/>
        </w:rPr>
        <w:t>Eur</w:t>
      </w:r>
      <w:proofErr w:type="spellEnd"/>
      <w:r>
        <w:rPr>
          <w:sz w:val="23"/>
          <w:szCs w:val="23"/>
        </w:rPr>
        <w:t xml:space="preserve"> Stroke J. 2018 Dec;3(4):309-336. </w:t>
      </w:r>
    </w:p>
    <w:p w14:paraId="3AA21BC1" w14:textId="77777777" w:rsidR="00551CBA" w:rsidRDefault="00551CBA" w:rsidP="00551CBA">
      <w:pPr>
        <w:pStyle w:val="Default"/>
        <w:rPr>
          <w:sz w:val="23"/>
          <w:szCs w:val="23"/>
        </w:rPr>
      </w:pPr>
    </w:p>
    <w:p w14:paraId="780F90D4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Norrving B, Davis SM, Feigin VL, Mensah GA, Sacco RL, Varghese C. Stroke Prevention Worldwide--What Could Make It Work? Neuroepidemiology. 2015;45(3):215-20. </w:t>
      </w:r>
    </w:p>
    <w:p w14:paraId="08340D6E" w14:textId="77777777" w:rsidR="00551CBA" w:rsidRDefault="00551CBA" w:rsidP="00551CBA">
      <w:pPr>
        <w:pStyle w:val="Default"/>
        <w:rPr>
          <w:sz w:val="23"/>
          <w:szCs w:val="23"/>
        </w:rPr>
      </w:pPr>
    </w:p>
    <w:p w14:paraId="4FF3E48A" w14:textId="77777777" w:rsidR="00551CBA" w:rsidRDefault="00551CBA" w:rsidP="00551C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Ouriques Martins SC, et al. Priorities to reduce the burden of stroke in Latin American countries. Lancet Neurol. 2019 Jul;18(7):674-683 </w:t>
      </w:r>
    </w:p>
    <w:p w14:paraId="4126327B" w14:textId="77777777" w:rsidR="00991750" w:rsidRDefault="003565DE"/>
    <w:sectPr w:rsidR="00991750" w:rsidSect="00BF194A">
      <w:pgSz w:w="11904" w:h="17333"/>
      <w:pgMar w:top="1400" w:right="900" w:bottom="504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BA"/>
    <w:rsid w:val="003565DE"/>
    <w:rsid w:val="004828E9"/>
    <w:rsid w:val="004F0E30"/>
    <w:rsid w:val="0055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0CDC40"/>
  <w15:chartTrackingRefBased/>
  <w15:docId w15:val="{0B73C47E-1849-4538-A80A-4C9D959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1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4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Shapranova</dc:creator>
  <cp:keywords/>
  <dc:description/>
  <cp:lastModifiedBy>Julia Shapranova</cp:lastModifiedBy>
  <cp:revision>2</cp:revision>
  <dcterms:created xsi:type="dcterms:W3CDTF">2022-11-18T09:58:00Z</dcterms:created>
  <dcterms:modified xsi:type="dcterms:W3CDTF">2022-11-18T09:58:00Z</dcterms:modified>
</cp:coreProperties>
</file>